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B85B1C"/>
    <w:p w:rsidR="00097C7B" w:rsidRDefault="00097C7B" w:rsidP="00097C7B">
      <w:pPr>
        <w:pStyle w:val="NoSpacing"/>
      </w:pPr>
      <w:r>
        <w:t>Burrillville Sewer Commission</w:t>
      </w:r>
    </w:p>
    <w:p w:rsidR="00097C7B" w:rsidRDefault="00097C7B" w:rsidP="00097C7B">
      <w:pPr>
        <w:pStyle w:val="NoSpacing"/>
      </w:pPr>
      <w:r>
        <w:t>Regular Meeting of March 8, 2022</w:t>
      </w:r>
    </w:p>
    <w:p w:rsidR="00097C7B" w:rsidRDefault="00097C7B" w:rsidP="00097C7B">
      <w:pPr>
        <w:pStyle w:val="NoSpacing"/>
      </w:pPr>
      <w:r>
        <w:t>Board Room of the BWWTF</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t>Members Present:  William Andrews – Chairman</w:t>
      </w:r>
    </w:p>
    <w:p w:rsidR="00097C7B" w:rsidRDefault="00097C7B" w:rsidP="00097C7B">
      <w:pPr>
        <w:pStyle w:val="NoSpacing"/>
      </w:pPr>
      <w:r>
        <w:tab/>
      </w:r>
      <w:r>
        <w:tab/>
        <w:t xml:space="preserve">       Richard Nolan – Vice Chairman</w:t>
      </w:r>
    </w:p>
    <w:p w:rsidR="00097C7B" w:rsidRDefault="00097C7B" w:rsidP="00097C7B">
      <w:pPr>
        <w:pStyle w:val="NoSpacing"/>
      </w:pPr>
      <w:r>
        <w:tab/>
      </w:r>
      <w:r>
        <w:tab/>
        <w:t xml:space="preserve">       Russell Fontaine – Secretary</w:t>
      </w:r>
    </w:p>
    <w:p w:rsidR="00097C7B" w:rsidRDefault="00097C7B" w:rsidP="00097C7B">
      <w:pPr>
        <w:pStyle w:val="NoSpacing"/>
      </w:pPr>
      <w:r>
        <w:tab/>
      </w:r>
      <w:r>
        <w:tab/>
        <w:t xml:space="preserve">       Gary Rouleau – Commission Member</w:t>
      </w:r>
    </w:p>
    <w:p w:rsidR="00622CDD" w:rsidRDefault="00622CDD" w:rsidP="00097C7B">
      <w:pPr>
        <w:pStyle w:val="NoSpacing"/>
      </w:pPr>
    </w:p>
    <w:p w:rsidR="00622CDD" w:rsidRDefault="00622CDD" w:rsidP="00097C7B">
      <w:pPr>
        <w:pStyle w:val="NoSpacing"/>
      </w:pPr>
    </w:p>
    <w:p w:rsidR="00622CDD" w:rsidRDefault="00622CDD" w:rsidP="00097C7B">
      <w:pPr>
        <w:pStyle w:val="NoSpacing"/>
      </w:pPr>
    </w:p>
    <w:p w:rsidR="00097C7B" w:rsidRDefault="00622CDD" w:rsidP="00097C7B">
      <w:pPr>
        <w:pStyle w:val="NoSpacing"/>
      </w:pPr>
      <w:r>
        <w:t xml:space="preserve">Member(s) Absent:  </w:t>
      </w:r>
      <w:r w:rsidR="00097C7B">
        <w:t>Daniel Joubert – Commission Member</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t>Also Present:  James Dyment – Consulting Engineer</w:t>
      </w:r>
    </w:p>
    <w:p w:rsidR="00097C7B" w:rsidRDefault="00097C7B" w:rsidP="00097C7B">
      <w:pPr>
        <w:pStyle w:val="NoSpacing"/>
      </w:pPr>
      <w:r>
        <w:tab/>
        <w:t xml:space="preserve">           Dennis Anderson – Town Council Liaison</w:t>
      </w:r>
    </w:p>
    <w:p w:rsidR="00097C7B" w:rsidRDefault="00097C7B" w:rsidP="00097C7B">
      <w:pPr>
        <w:pStyle w:val="NoSpacing"/>
      </w:pPr>
      <w:r>
        <w:tab/>
        <w:t xml:space="preserve">           Michael Emond – Superintendent</w:t>
      </w:r>
    </w:p>
    <w:p w:rsidR="00097C7B" w:rsidRDefault="00097C7B" w:rsidP="00097C7B">
      <w:pPr>
        <w:pStyle w:val="NoSpacing"/>
      </w:pPr>
      <w:r>
        <w:tab/>
        <w:t xml:space="preserve">           Stacey Richard – Office Manager</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t>Mr. Andrews opened the Meeting at</w:t>
      </w:r>
      <w:r w:rsidR="00622CDD">
        <w:t xml:space="preserve"> 6:30 PM.</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rPr>
        <w:t xml:space="preserve">Agenda Item – </w:t>
      </w:r>
      <w:r>
        <w:t>The question of accepting the Minutes of the Regular Meeting of February 8, 2022 and the question of dispensing with the reading of said Minutes.</w:t>
      </w:r>
    </w:p>
    <w:p w:rsidR="00097C7B" w:rsidRPr="00622CDD" w:rsidRDefault="00097C7B" w:rsidP="00097C7B">
      <w:pPr>
        <w:pStyle w:val="NoSpacing"/>
      </w:pPr>
      <w:r>
        <w:rPr>
          <w:b/>
        </w:rPr>
        <w:t xml:space="preserve">Voted – </w:t>
      </w:r>
      <w:r w:rsidR="00622CDD">
        <w:t>Mr. Fontaine made a motion to accept the Minutes of the Regular Meeting of February 8, 2022 and to dispense with the reading of said Minutes. The motion was seconded by Mr. Nolan. All in favor, so voted.</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rPr>
        <w:t>Public Comment</w:t>
      </w:r>
      <w:r>
        <w:t xml:space="preserve"> – None</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rPr>
        <w:t>Correspondence</w:t>
      </w:r>
      <w:r>
        <w:t xml:space="preserve"> – None</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rPr>
        <w:t>New Business</w:t>
      </w:r>
      <w:r>
        <w:t xml:space="preserve"> – None</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rPr>
        <w:t>Old Business</w:t>
      </w:r>
      <w:r>
        <w:t xml:space="preserve"> – None</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rPr>
        <w:t>Invoices</w:t>
      </w:r>
      <w:r>
        <w:t xml:space="preserve"> – None</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u w:val="single"/>
        </w:rPr>
        <w:lastRenderedPageBreak/>
        <w:t>Engineer’s Report:</w:t>
      </w:r>
    </w:p>
    <w:p w:rsidR="00097C7B" w:rsidRDefault="00097C7B" w:rsidP="00097C7B">
      <w:pPr>
        <w:pStyle w:val="NoSpacing"/>
      </w:pPr>
      <w:r>
        <w:tab/>
        <w:t>Copper Compliance WER Task Order</w:t>
      </w:r>
    </w:p>
    <w:p w:rsidR="00622CDD" w:rsidRDefault="00622CDD" w:rsidP="00097C7B">
      <w:pPr>
        <w:pStyle w:val="NoSpacing"/>
      </w:pPr>
      <w:r>
        <w:t>Mr. Dyment stated that RIDEM sent the BSC a revised draft consent agreement. Mr. Dyment and Mr. Emond will meet with RIDEM to discuss</w:t>
      </w:r>
      <w:r w:rsidR="00F41A7A">
        <w:t xml:space="preserve"> the WER testing</w:t>
      </w:r>
      <w:r>
        <w:t>. There was some discussion on this matter.</w:t>
      </w:r>
    </w:p>
    <w:p w:rsidR="00F41A7A" w:rsidRPr="00F41A7A" w:rsidRDefault="00F41A7A" w:rsidP="00097C7B">
      <w:pPr>
        <w:pStyle w:val="NoSpacing"/>
      </w:pPr>
      <w:r>
        <w:rPr>
          <w:b/>
        </w:rPr>
        <w:t xml:space="preserve">Voted – </w:t>
      </w:r>
      <w:r>
        <w:t>Mr. Fontaine made a motion to approve the Copper Compliance WER Task Order, not to exceed $12,680.00, without prior written approval. The motion was seconded by Mr. Nolan. All in favor, so voted.</w:t>
      </w:r>
    </w:p>
    <w:p w:rsidR="00097C7B" w:rsidRDefault="00097C7B" w:rsidP="00097C7B">
      <w:pPr>
        <w:pStyle w:val="NoSpacing"/>
      </w:pPr>
    </w:p>
    <w:p w:rsidR="00097C7B" w:rsidRDefault="00097C7B" w:rsidP="00097C7B">
      <w:pPr>
        <w:pStyle w:val="NoSpacing"/>
      </w:pPr>
      <w:r>
        <w:tab/>
        <w:t xml:space="preserve">Nasonville Report – updated per Town comments. A specific Executive Summary for Sub Area 1 </w:t>
      </w:r>
      <w:r>
        <w:tab/>
        <w:t>can be developed should the Town require it for funding and planning.</w:t>
      </w:r>
    </w:p>
    <w:p w:rsidR="00F41A7A" w:rsidRDefault="00F41A7A" w:rsidP="00097C7B">
      <w:pPr>
        <w:pStyle w:val="NoSpacing"/>
      </w:pPr>
      <w:r>
        <w:t>Mr. Dyment stated that the Nasonville Rep</w:t>
      </w:r>
      <w:r w:rsidR="003B5C8B">
        <w:t>ort is the final report, to be approved by the Town Manager. There was some discussion regarding funding</w:t>
      </w:r>
      <w:r w:rsidR="00E71C38">
        <w:t>.</w:t>
      </w:r>
    </w:p>
    <w:p w:rsidR="00097C7B" w:rsidRDefault="00097C7B" w:rsidP="00097C7B">
      <w:pPr>
        <w:pStyle w:val="NoSpacing"/>
      </w:pPr>
    </w:p>
    <w:p w:rsidR="00097C7B" w:rsidRDefault="00097C7B" w:rsidP="00097C7B">
      <w:pPr>
        <w:pStyle w:val="NoSpacing"/>
      </w:pPr>
      <w:r>
        <w:tab/>
        <w:t>Facilities Plan Task Order Proposal</w:t>
      </w:r>
    </w:p>
    <w:p w:rsidR="00EB4679" w:rsidRDefault="00EB4679" w:rsidP="00097C7B">
      <w:pPr>
        <w:pStyle w:val="NoSpacing"/>
      </w:pPr>
      <w:r>
        <w:t>Mr. Dyment stated that he will begin working on a new Facilities Plan for the BWWTF, to include expansion into Nasonville, with the approval of the Commission. Mr. Andrews stated that the Commission would like to wait for the new budget proposal before starting work on the updated Facilities Plan.</w:t>
      </w:r>
    </w:p>
    <w:p w:rsidR="00EB4679" w:rsidRPr="00EB4679" w:rsidRDefault="00EB4679" w:rsidP="00097C7B">
      <w:pPr>
        <w:pStyle w:val="NoSpacing"/>
      </w:pPr>
      <w:r>
        <w:rPr>
          <w:b/>
        </w:rPr>
        <w:t xml:space="preserve">Voted – </w:t>
      </w:r>
      <w:r>
        <w:t>Mr. Nolan made a motion to accept the Engineer’s Report. The motion was seconded by Mr. Rouleau. All in favor, so voted.</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u w:val="single"/>
        </w:rPr>
        <w:t>Attorney’s Report:</w:t>
      </w:r>
    </w:p>
    <w:p w:rsidR="00097C7B" w:rsidRDefault="00097C7B" w:rsidP="00097C7B">
      <w:pPr>
        <w:pStyle w:val="NoSpacing"/>
      </w:pPr>
      <w:r>
        <w:t>There was no Attorney’s Report, as the Attorney was not present at the Meeting.</w:t>
      </w:r>
    </w:p>
    <w:p w:rsidR="00097C7B" w:rsidRDefault="00097C7B" w:rsidP="00097C7B">
      <w:pPr>
        <w:pStyle w:val="NoSpacing"/>
      </w:pPr>
    </w:p>
    <w:p w:rsidR="00097C7B" w:rsidRDefault="00097C7B" w:rsidP="00097C7B">
      <w:pPr>
        <w:pStyle w:val="NoSpacing"/>
      </w:pPr>
    </w:p>
    <w:p w:rsidR="00097C7B" w:rsidRDefault="00097C7B" w:rsidP="00097C7B">
      <w:pPr>
        <w:pStyle w:val="NoSpacing"/>
      </w:pPr>
      <w:r>
        <w:rPr>
          <w:b/>
          <w:u w:val="single"/>
        </w:rPr>
        <w:t>Superintendent’s Report:</w:t>
      </w:r>
    </w:p>
    <w:p w:rsidR="00097C7B" w:rsidRDefault="00097C7B" w:rsidP="00097C7B">
      <w:pPr>
        <w:pStyle w:val="NoSpacing"/>
      </w:pPr>
      <w:r>
        <w:t>Report for the month of February, 2022</w:t>
      </w:r>
    </w:p>
    <w:p w:rsidR="00097C7B" w:rsidRDefault="00097C7B" w:rsidP="00097C7B">
      <w:pPr>
        <w:pStyle w:val="NoSpacing"/>
      </w:pPr>
    </w:p>
    <w:p w:rsidR="00097C7B" w:rsidRDefault="00097C7B" w:rsidP="00097C7B">
      <w:pPr>
        <w:pStyle w:val="NoSpacing"/>
      </w:pPr>
      <w:r w:rsidRPr="00097C7B">
        <w:rPr>
          <w:b/>
        </w:rPr>
        <w:t>1.</w:t>
      </w:r>
      <w:r>
        <w:rPr>
          <w:b/>
        </w:rPr>
        <w:t xml:space="preserve"> </w:t>
      </w:r>
      <w:r>
        <w:rPr>
          <w:b/>
        </w:rPr>
        <w:tab/>
        <w:t>WWTF OPERATIONS</w:t>
      </w:r>
    </w:p>
    <w:p w:rsidR="00097C7B" w:rsidRDefault="00097C7B" w:rsidP="00097C7B">
      <w:pPr>
        <w:pStyle w:val="NoSpacing"/>
      </w:pPr>
      <w:r>
        <w:tab/>
      </w:r>
    </w:p>
    <w:p w:rsidR="00097C7B" w:rsidRDefault="00097C7B" w:rsidP="00097C7B">
      <w:pPr>
        <w:pStyle w:val="NoSpacing"/>
        <w:numPr>
          <w:ilvl w:val="0"/>
          <w:numId w:val="2"/>
        </w:numPr>
      </w:pPr>
      <w:r>
        <w:t>Influent to Treatment Facility – MGD</w:t>
      </w:r>
    </w:p>
    <w:p w:rsidR="00097C7B" w:rsidRDefault="00097C7B" w:rsidP="00097C7B">
      <w:pPr>
        <w:pStyle w:val="NoSpacing"/>
        <w:ind w:left="1080"/>
      </w:pPr>
      <w:r>
        <w:t>Average Daily Flow</w:t>
      </w:r>
      <w:r>
        <w:tab/>
      </w:r>
      <w:r>
        <w:tab/>
      </w:r>
      <w:r>
        <w:tab/>
      </w:r>
      <w:r>
        <w:tab/>
      </w:r>
      <w:r>
        <w:tab/>
        <w:t>=</w:t>
      </w:r>
      <w:r>
        <w:tab/>
        <w:t>1.2474</w:t>
      </w:r>
    </w:p>
    <w:p w:rsidR="00097C7B" w:rsidRDefault="00097C7B" w:rsidP="00097C7B">
      <w:pPr>
        <w:pStyle w:val="NoSpacing"/>
        <w:ind w:left="1080"/>
      </w:pPr>
      <w:r>
        <w:t>Maximum Daily Flow</w:t>
      </w:r>
      <w:r>
        <w:tab/>
      </w:r>
      <w:r>
        <w:tab/>
      </w:r>
      <w:r>
        <w:tab/>
      </w:r>
      <w:r>
        <w:tab/>
        <w:t>=</w:t>
      </w:r>
      <w:r>
        <w:tab/>
        <w:t>1.6930</w:t>
      </w:r>
      <w:r>
        <w:tab/>
      </w:r>
      <w:r>
        <w:tab/>
      </w:r>
      <w:proofErr w:type="gramStart"/>
      <w:r>
        <w:t>on  18</w:t>
      </w:r>
      <w:proofErr w:type="gramEnd"/>
      <w:r>
        <w:t>-Feb</w:t>
      </w:r>
    </w:p>
    <w:p w:rsidR="00097C7B" w:rsidRDefault="00097C7B" w:rsidP="00097C7B">
      <w:pPr>
        <w:pStyle w:val="NoSpacing"/>
        <w:ind w:left="1080"/>
      </w:pPr>
      <w:r>
        <w:t>Minimum Daily Flow</w:t>
      </w:r>
      <w:r>
        <w:tab/>
      </w:r>
      <w:r>
        <w:tab/>
      </w:r>
      <w:r>
        <w:tab/>
      </w:r>
      <w:r>
        <w:tab/>
        <w:t>=</w:t>
      </w:r>
      <w:r>
        <w:tab/>
        <w:t>0.8050</w:t>
      </w:r>
      <w:r>
        <w:tab/>
      </w:r>
      <w:r>
        <w:tab/>
      </w:r>
      <w:proofErr w:type="gramStart"/>
      <w:r>
        <w:t>on  02</w:t>
      </w:r>
      <w:proofErr w:type="gramEnd"/>
      <w:r>
        <w:t>-Feb</w:t>
      </w:r>
    </w:p>
    <w:p w:rsidR="00097C7B" w:rsidRDefault="00097C7B" w:rsidP="00097C7B">
      <w:pPr>
        <w:pStyle w:val="NoSpacing"/>
        <w:ind w:left="1080"/>
      </w:pPr>
    </w:p>
    <w:p w:rsidR="00097C7B" w:rsidRDefault="00097C7B" w:rsidP="00097C7B">
      <w:pPr>
        <w:pStyle w:val="NoSpacing"/>
        <w:ind w:left="1080"/>
      </w:pPr>
      <w:r>
        <w:tab/>
      </w:r>
      <w:r>
        <w:tab/>
      </w:r>
      <w:r>
        <w:tab/>
      </w:r>
      <w:r>
        <w:tab/>
      </w:r>
      <w:r>
        <w:tab/>
      </w:r>
      <w:r>
        <w:tab/>
      </w:r>
      <w:r>
        <w:tab/>
      </w:r>
      <w:r>
        <w:tab/>
        <w:t>Percent</w:t>
      </w:r>
      <w:r>
        <w:tab/>
      </w:r>
      <w:r>
        <w:tab/>
        <w:t>Average</w:t>
      </w:r>
    </w:p>
    <w:p w:rsidR="00097C7B" w:rsidRDefault="00097C7B" w:rsidP="00097C7B">
      <w:pPr>
        <w:pStyle w:val="NoSpacing"/>
        <w:ind w:left="1080"/>
      </w:pPr>
      <w:r>
        <w:tab/>
      </w:r>
      <w:r>
        <w:tab/>
      </w:r>
      <w:r>
        <w:tab/>
      </w:r>
      <w:r>
        <w:tab/>
      </w:r>
      <w:r>
        <w:tab/>
      </w:r>
      <w:r>
        <w:tab/>
      </w:r>
      <w:r>
        <w:tab/>
      </w:r>
      <w:r>
        <w:tab/>
      </w:r>
      <w:r>
        <w:rPr>
          <w:u w:val="single"/>
        </w:rPr>
        <w:t>Removal</w:t>
      </w:r>
      <w:r>
        <w:tab/>
      </w:r>
      <w:r>
        <w:rPr>
          <w:u w:val="single"/>
        </w:rPr>
        <w:t>Concentration</w:t>
      </w:r>
    </w:p>
    <w:p w:rsidR="00097C7B" w:rsidRDefault="00097C7B" w:rsidP="00097C7B">
      <w:pPr>
        <w:pStyle w:val="NoSpacing"/>
        <w:numPr>
          <w:ilvl w:val="0"/>
          <w:numId w:val="2"/>
        </w:numPr>
      </w:pPr>
      <w:r>
        <w:t>Biochemical Oxygen Demand</w:t>
      </w:r>
    </w:p>
    <w:p w:rsidR="00097C7B" w:rsidRDefault="00097C7B" w:rsidP="00097C7B">
      <w:pPr>
        <w:pStyle w:val="NoSpacing"/>
        <w:ind w:left="1080"/>
      </w:pPr>
      <w:r>
        <w:t>EPA / DEM Permit Requirement</w:t>
      </w:r>
      <w:r>
        <w:tab/>
      </w:r>
      <w:r>
        <w:tab/>
      </w:r>
      <w:r>
        <w:tab/>
        <w:t>=</w:t>
      </w:r>
      <w:r>
        <w:tab/>
        <w:t>85.0% min</w:t>
      </w:r>
      <w:r>
        <w:tab/>
        <w:t>30.0 mg/L</w:t>
      </w:r>
    </w:p>
    <w:p w:rsidR="00097C7B" w:rsidRDefault="00097C7B" w:rsidP="00097C7B">
      <w:pPr>
        <w:pStyle w:val="NoSpacing"/>
        <w:ind w:left="1080"/>
      </w:pPr>
      <w:r>
        <w:t>February achieved</w:t>
      </w:r>
      <w:r>
        <w:tab/>
      </w:r>
      <w:r>
        <w:tab/>
      </w:r>
      <w:r>
        <w:tab/>
      </w:r>
      <w:r>
        <w:tab/>
      </w:r>
      <w:r>
        <w:tab/>
        <w:t>=</w:t>
      </w:r>
      <w:r>
        <w:tab/>
        <w:t>98.5%</w:t>
      </w:r>
      <w:r>
        <w:tab/>
      </w:r>
      <w:r>
        <w:tab/>
        <w:t>*2.1 mg/L</w:t>
      </w:r>
    </w:p>
    <w:p w:rsidR="00097C7B" w:rsidRDefault="00097C7B" w:rsidP="00097C7B">
      <w:pPr>
        <w:pStyle w:val="NoSpacing"/>
        <w:ind w:left="1080"/>
      </w:pPr>
    </w:p>
    <w:p w:rsidR="00097C7B" w:rsidRDefault="00097C7B" w:rsidP="00097C7B">
      <w:pPr>
        <w:pStyle w:val="NoSpacing"/>
        <w:numPr>
          <w:ilvl w:val="0"/>
          <w:numId w:val="2"/>
        </w:numPr>
      </w:pPr>
      <w:r>
        <w:t>Total Suspended Solids</w:t>
      </w:r>
    </w:p>
    <w:p w:rsidR="00097C7B" w:rsidRDefault="00097C7B" w:rsidP="00097C7B">
      <w:pPr>
        <w:pStyle w:val="NoSpacing"/>
        <w:ind w:left="1080"/>
      </w:pPr>
      <w:r>
        <w:t>EPA / DEM Permit Requirement</w:t>
      </w:r>
      <w:r>
        <w:tab/>
      </w:r>
      <w:r>
        <w:tab/>
      </w:r>
      <w:r>
        <w:tab/>
        <w:t>=</w:t>
      </w:r>
      <w:r>
        <w:tab/>
        <w:t>85.0%</w:t>
      </w:r>
      <w:r>
        <w:tab/>
      </w:r>
      <w:r>
        <w:tab/>
        <w:t>30.0 mg/L</w:t>
      </w:r>
    </w:p>
    <w:p w:rsidR="00097C7B" w:rsidRDefault="00097C7B" w:rsidP="00097C7B">
      <w:pPr>
        <w:pStyle w:val="NoSpacing"/>
        <w:ind w:left="1080"/>
      </w:pPr>
      <w:r>
        <w:t>February achieved</w:t>
      </w:r>
      <w:r>
        <w:tab/>
      </w:r>
      <w:r>
        <w:tab/>
      </w:r>
      <w:r>
        <w:tab/>
      </w:r>
      <w:r>
        <w:tab/>
      </w:r>
      <w:r>
        <w:tab/>
        <w:t>=</w:t>
      </w:r>
      <w:r>
        <w:tab/>
        <w:t>98.1%</w:t>
      </w:r>
      <w:r>
        <w:tab/>
      </w:r>
      <w:r>
        <w:tab/>
        <w:t>3.3 mg/L</w:t>
      </w:r>
    </w:p>
    <w:p w:rsidR="00097C7B" w:rsidRDefault="00097C7B" w:rsidP="00097C7B">
      <w:pPr>
        <w:pStyle w:val="NoSpacing"/>
        <w:ind w:left="1080"/>
      </w:pPr>
    </w:p>
    <w:p w:rsidR="00097C7B" w:rsidRDefault="00097C7B" w:rsidP="00097C7B">
      <w:pPr>
        <w:pStyle w:val="NoSpacing"/>
        <w:numPr>
          <w:ilvl w:val="0"/>
          <w:numId w:val="2"/>
        </w:numPr>
      </w:pPr>
      <w:r>
        <w:t>Total Phosphorus</w:t>
      </w:r>
    </w:p>
    <w:p w:rsidR="00097C7B" w:rsidRDefault="00097C7B" w:rsidP="00097C7B">
      <w:pPr>
        <w:pStyle w:val="NoSpacing"/>
        <w:ind w:left="1080"/>
      </w:pPr>
      <w:r>
        <w:t>EPA / DEM Permit Requirement</w:t>
      </w:r>
      <w:r>
        <w:tab/>
      </w:r>
      <w:r>
        <w:tab/>
      </w:r>
      <w:r>
        <w:tab/>
        <w:t>=</w:t>
      </w:r>
      <w:r>
        <w:tab/>
        <w:t>N/A</w:t>
      </w:r>
      <w:r>
        <w:tab/>
      </w:r>
      <w:r>
        <w:tab/>
        <w:t>1.0 mg/L</w:t>
      </w:r>
    </w:p>
    <w:p w:rsidR="00097C7B" w:rsidRDefault="00097C7B" w:rsidP="00097C7B">
      <w:pPr>
        <w:pStyle w:val="NoSpacing"/>
        <w:ind w:left="1080"/>
      </w:pPr>
      <w:r>
        <w:lastRenderedPageBreak/>
        <w:t>February achieved</w:t>
      </w:r>
      <w:r>
        <w:tab/>
      </w:r>
      <w:r>
        <w:tab/>
      </w:r>
      <w:r>
        <w:tab/>
      </w:r>
      <w:r>
        <w:tab/>
      </w:r>
      <w:r>
        <w:tab/>
        <w:t>=</w:t>
      </w:r>
      <w:r>
        <w:tab/>
        <w:t>85.5%</w:t>
      </w:r>
      <w:r>
        <w:tab/>
      </w:r>
      <w:r>
        <w:tab/>
        <w:t>0.624 mg/L</w:t>
      </w:r>
    </w:p>
    <w:p w:rsidR="00097C7B" w:rsidRDefault="00097C7B" w:rsidP="00097C7B">
      <w:pPr>
        <w:pStyle w:val="NoSpacing"/>
        <w:ind w:left="1080"/>
      </w:pPr>
    </w:p>
    <w:p w:rsidR="00097C7B" w:rsidRDefault="00097C7B" w:rsidP="00097C7B">
      <w:pPr>
        <w:pStyle w:val="NoSpacing"/>
        <w:numPr>
          <w:ilvl w:val="0"/>
          <w:numId w:val="2"/>
        </w:numPr>
      </w:pPr>
      <w:r>
        <w:t>Total Ammonia</w:t>
      </w:r>
    </w:p>
    <w:p w:rsidR="00097C7B" w:rsidRDefault="00097C7B" w:rsidP="00097C7B">
      <w:pPr>
        <w:pStyle w:val="NoSpacing"/>
        <w:ind w:left="1080"/>
      </w:pPr>
      <w:r>
        <w:t>EPA / DEM Permit Requirement</w:t>
      </w:r>
      <w:r>
        <w:tab/>
      </w:r>
      <w:r>
        <w:tab/>
      </w:r>
      <w:r>
        <w:tab/>
        <w:t>=</w:t>
      </w:r>
      <w:r>
        <w:tab/>
        <w:t>N/A</w:t>
      </w:r>
      <w:r>
        <w:tab/>
      </w:r>
      <w:r>
        <w:tab/>
        <w:t>20.0 mg/L</w:t>
      </w:r>
    </w:p>
    <w:p w:rsidR="00097C7B" w:rsidRDefault="00097C7B" w:rsidP="00097C7B">
      <w:pPr>
        <w:pStyle w:val="NoSpacing"/>
        <w:ind w:left="1080"/>
      </w:pPr>
      <w:r>
        <w:t>February achieved</w:t>
      </w:r>
      <w:r>
        <w:tab/>
      </w:r>
      <w:r>
        <w:tab/>
      </w:r>
      <w:r>
        <w:tab/>
      </w:r>
      <w:r>
        <w:tab/>
      </w:r>
      <w:r>
        <w:tab/>
        <w:t>=</w:t>
      </w:r>
      <w:r>
        <w:tab/>
        <w:t>88.7%</w:t>
      </w:r>
      <w:r>
        <w:tab/>
      </w:r>
      <w:r>
        <w:tab/>
        <w:t>2.10 mg/L</w:t>
      </w:r>
    </w:p>
    <w:p w:rsidR="00097C7B" w:rsidRDefault="00097C7B" w:rsidP="00097C7B">
      <w:pPr>
        <w:pStyle w:val="NoSpacing"/>
        <w:ind w:left="1080"/>
      </w:pPr>
    </w:p>
    <w:p w:rsidR="00097C7B" w:rsidRDefault="00097C7B" w:rsidP="00097C7B">
      <w:pPr>
        <w:pStyle w:val="NoSpacing"/>
        <w:numPr>
          <w:ilvl w:val="0"/>
          <w:numId w:val="2"/>
        </w:numPr>
      </w:pPr>
      <w:r>
        <w:t>Total Copper</w:t>
      </w:r>
    </w:p>
    <w:p w:rsidR="00097C7B" w:rsidRDefault="00097C7B" w:rsidP="00097C7B">
      <w:pPr>
        <w:pStyle w:val="NoSpacing"/>
        <w:ind w:left="1080"/>
      </w:pPr>
      <w:r>
        <w:t>EPA / DEM Permit Requirement</w:t>
      </w:r>
      <w:r>
        <w:tab/>
      </w:r>
      <w:r>
        <w:tab/>
      </w:r>
      <w:r>
        <w:tab/>
        <w:t>=</w:t>
      </w:r>
      <w:r>
        <w:tab/>
        <w:t>N/A</w:t>
      </w:r>
      <w:r>
        <w:tab/>
      </w:r>
      <w:r>
        <w:tab/>
        <w:t xml:space="preserve">8.0 </w:t>
      </w:r>
      <w:proofErr w:type="spellStart"/>
      <w:r>
        <w:t>ug</w:t>
      </w:r>
      <w:proofErr w:type="spellEnd"/>
      <w:r>
        <w:t>/L</w:t>
      </w:r>
    </w:p>
    <w:p w:rsidR="00097C7B" w:rsidRDefault="00097C7B" w:rsidP="00097C7B">
      <w:pPr>
        <w:pStyle w:val="NoSpacing"/>
        <w:ind w:left="1080"/>
      </w:pPr>
      <w:r>
        <w:t>February achieved</w:t>
      </w:r>
      <w:r>
        <w:tab/>
      </w:r>
      <w:r>
        <w:tab/>
      </w:r>
      <w:r>
        <w:tab/>
      </w:r>
      <w:r>
        <w:tab/>
      </w:r>
      <w:r>
        <w:tab/>
        <w:t>=</w:t>
      </w:r>
      <w:r>
        <w:tab/>
        <w:t>95.7%</w:t>
      </w:r>
      <w:r>
        <w:tab/>
      </w:r>
      <w:r>
        <w:tab/>
        <w:t xml:space="preserve">**4.2 </w:t>
      </w:r>
      <w:proofErr w:type="spellStart"/>
      <w:r>
        <w:t>ug</w:t>
      </w:r>
      <w:proofErr w:type="spellEnd"/>
      <w:r>
        <w:t>/L</w:t>
      </w:r>
    </w:p>
    <w:p w:rsidR="00097C7B" w:rsidRDefault="00097C7B" w:rsidP="00097C7B">
      <w:pPr>
        <w:pStyle w:val="NoSpacing"/>
        <w:ind w:left="1080"/>
      </w:pPr>
    </w:p>
    <w:p w:rsidR="00097C7B" w:rsidRDefault="00097C7B" w:rsidP="00097C7B">
      <w:pPr>
        <w:pStyle w:val="NoSpacing"/>
        <w:numPr>
          <w:ilvl w:val="0"/>
          <w:numId w:val="2"/>
        </w:numPr>
      </w:pPr>
      <w:r>
        <w:t>Disposed Sludge</w:t>
      </w:r>
    </w:p>
    <w:p w:rsidR="00097C7B" w:rsidRDefault="00097C7B" w:rsidP="00097C7B">
      <w:pPr>
        <w:pStyle w:val="NoSpacing"/>
        <w:ind w:left="1080"/>
      </w:pPr>
      <w:r>
        <w:t>Dry Tons Disposed of</w:t>
      </w:r>
      <w:r>
        <w:tab/>
      </w:r>
      <w:r>
        <w:tab/>
      </w:r>
      <w:r>
        <w:tab/>
      </w:r>
      <w:r>
        <w:tab/>
        <w:t>=</w:t>
      </w:r>
      <w:r>
        <w:tab/>
        <w:t>28.15</w:t>
      </w:r>
    </w:p>
    <w:p w:rsidR="00097C7B" w:rsidRDefault="00097C7B" w:rsidP="00097C7B">
      <w:pPr>
        <w:pStyle w:val="NoSpacing"/>
        <w:ind w:left="1080"/>
      </w:pPr>
      <w:r>
        <w:t>Number of Loads Removed</w:t>
      </w:r>
      <w:r>
        <w:tab/>
      </w:r>
      <w:r>
        <w:tab/>
      </w:r>
      <w:r>
        <w:tab/>
      </w:r>
      <w:r>
        <w:tab/>
        <w:t>=</w:t>
      </w:r>
      <w:r>
        <w:tab/>
        <w:t>24</w:t>
      </w:r>
    </w:p>
    <w:p w:rsidR="00097C7B" w:rsidRDefault="00097C7B" w:rsidP="00097C7B">
      <w:pPr>
        <w:pStyle w:val="NoSpacing"/>
        <w:ind w:left="1080"/>
      </w:pPr>
      <w:r>
        <w:t>Average Dry Tons / Load</w:t>
      </w:r>
      <w:r>
        <w:tab/>
      </w:r>
      <w:r>
        <w:tab/>
      </w:r>
      <w:r>
        <w:tab/>
      </w:r>
      <w:r>
        <w:tab/>
        <w:t>=</w:t>
      </w:r>
      <w:r>
        <w:tab/>
        <w:t>1.17</w:t>
      </w:r>
    </w:p>
    <w:p w:rsidR="00097C7B" w:rsidRDefault="00097C7B" w:rsidP="00097C7B">
      <w:pPr>
        <w:pStyle w:val="NoSpacing"/>
        <w:ind w:left="1080"/>
      </w:pPr>
    </w:p>
    <w:p w:rsidR="00097C7B" w:rsidRDefault="00097C7B" w:rsidP="00097C7B">
      <w:pPr>
        <w:pStyle w:val="NoSpacing"/>
        <w:ind w:left="1080"/>
      </w:pPr>
    </w:p>
    <w:p w:rsidR="00097C7B" w:rsidRDefault="0050377F" w:rsidP="0050377F">
      <w:pPr>
        <w:rPr>
          <w:sz w:val="18"/>
          <w:szCs w:val="18"/>
        </w:rPr>
      </w:pPr>
      <w:r>
        <w:rPr>
          <w:sz w:val="18"/>
          <w:szCs w:val="18"/>
        </w:rPr>
        <w:t>*Last daily BOD results for February have not completed test cycle at time report drafted.</w:t>
      </w:r>
    </w:p>
    <w:p w:rsidR="0050377F" w:rsidRDefault="0050377F" w:rsidP="0050377F">
      <w:pPr>
        <w:rPr>
          <w:sz w:val="18"/>
          <w:szCs w:val="18"/>
        </w:rPr>
      </w:pPr>
      <w:r>
        <w:rPr>
          <w:sz w:val="18"/>
          <w:szCs w:val="18"/>
        </w:rPr>
        <w:t>**Last week of month copper result has not been reported by the contract lab.</w:t>
      </w:r>
    </w:p>
    <w:p w:rsidR="0050377F" w:rsidRDefault="0050377F" w:rsidP="0050377F"/>
    <w:p w:rsidR="0050377F" w:rsidRDefault="0050377F" w:rsidP="0050377F">
      <w:r>
        <w:rPr>
          <w:u w:val="single"/>
        </w:rPr>
        <w:t>Permit Excursions</w:t>
      </w:r>
    </w:p>
    <w:p w:rsidR="0050377F" w:rsidRDefault="0050377F" w:rsidP="0050377F">
      <w:pPr>
        <w:pStyle w:val="NoSpacing"/>
      </w:pPr>
      <w:r>
        <w:t>There were no permit excursions for February 2022. The last excursion occurred in December 2021 when the chronic toxicity test for 4</w:t>
      </w:r>
      <w:r w:rsidRPr="0050377F">
        <w:rPr>
          <w:vertAlign w:val="superscript"/>
        </w:rPr>
        <w:t>th</w:t>
      </w:r>
      <w:r>
        <w:t xml:space="preserve"> quarter bioassay failed.</w:t>
      </w:r>
    </w:p>
    <w:p w:rsidR="0050377F" w:rsidRDefault="0050377F" w:rsidP="0050377F">
      <w:pPr>
        <w:pStyle w:val="NoSpacing"/>
      </w:pPr>
    </w:p>
    <w:p w:rsidR="0050377F" w:rsidRDefault="0050377F" w:rsidP="0050377F">
      <w:r w:rsidRPr="0050377F">
        <w:rPr>
          <w:u w:val="single"/>
        </w:rPr>
        <w:t>Callout Alarms</w:t>
      </w:r>
    </w:p>
    <w:p w:rsidR="0050377F" w:rsidRDefault="0050377F" w:rsidP="0050377F">
      <w:pPr>
        <w:pStyle w:val="NoSpacing"/>
      </w:pPr>
      <w:r>
        <w:t>There were six (6) after hour alarms for the wastewater treatment plant in February 2022. Five of six alarms were for High Final Chlorine Residual. All High Final Chlorine Residual alarm conditions returned to normal before crew arrived at the plant. After several attempts to troubleshoot and correct the problem, it was found that the sample pump was not rotating properly and at times only reagents were being dispensed into the reaction cell causing a false high chlorine residual. The sample pump is a peristaltic pump and the slip in rotation was caused by the lobe or cam slipping on the shaft. The setscrew holding the lobe to the shaft was tightened to prevent slippage and the issue was corrected.</w:t>
      </w:r>
    </w:p>
    <w:p w:rsidR="0050377F" w:rsidRDefault="0050377F" w:rsidP="0050377F">
      <w:pPr>
        <w:pStyle w:val="NoSpacing"/>
      </w:pPr>
    </w:p>
    <w:p w:rsidR="0050377F" w:rsidRDefault="0050377F" w:rsidP="0050377F">
      <w:pPr>
        <w:pStyle w:val="NoSpacing"/>
      </w:pPr>
      <w:r>
        <w:t>2/5/22 – While on an alarm call for the Reservoir Road Pump Station the crew received a callout for Low Initial Chlorine Residual. The sample pump, which provides sample from the chlorine mixing chamber to the Initial Chlorine Analyzer was found clogged with grease and not providing adequate flow. The clogged pump was replaced with a new pump.</w:t>
      </w:r>
    </w:p>
    <w:p w:rsidR="0050377F" w:rsidRDefault="0050377F" w:rsidP="0050377F">
      <w:pPr>
        <w:pStyle w:val="NoSpacing"/>
      </w:pPr>
    </w:p>
    <w:p w:rsidR="0050377F" w:rsidRDefault="0050377F" w:rsidP="0050377F">
      <w:pPr>
        <w:pStyle w:val="NoSpacing"/>
      </w:pPr>
      <w:r>
        <w:rPr>
          <w:b/>
        </w:rPr>
        <w:t xml:space="preserve">2. </w:t>
      </w:r>
      <w:r>
        <w:rPr>
          <w:b/>
        </w:rPr>
        <w:tab/>
        <w:t>COLLECTION SYSTEM OPERATIONS</w:t>
      </w:r>
    </w:p>
    <w:p w:rsidR="0050377F" w:rsidRDefault="0050377F" w:rsidP="0050377F">
      <w:pPr>
        <w:pStyle w:val="NoSpacing"/>
      </w:pPr>
    </w:p>
    <w:p w:rsidR="0050377F" w:rsidRDefault="0050377F" w:rsidP="0050377F">
      <w:pPr>
        <w:pStyle w:val="NoSpacing"/>
      </w:pPr>
      <w:r>
        <w:t>There were seven (7) after hour collection systems call-in responses for the month of February 2022. Find the call-in table below:</w:t>
      </w:r>
    </w:p>
    <w:tbl>
      <w:tblPr>
        <w:tblStyle w:val="TableGrid"/>
        <w:tblW w:w="0" w:type="auto"/>
        <w:tblLook w:val="04A0" w:firstRow="1" w:lastRow="0" w:firstColumn="1" w:lastColumn="0" w:noHBand="0" w:noVBand="1"/>
      </w:tblPr>
      <w:tblGrid>
        <w:gridCol w:w="944"/>
        <w:gridCol w:w="1751"/>
        <w:gridCol w:w="3150"/>
        <w:gridCol w:w="3505"/>
      </w:tblGrid>
      <w:tr w:rsidR="0050377F" w:rsidTr="004125BB">
        <w:tc>
          <w:tcPr>
            <w:tcW w:w="944" w:type="dxa"/>
          </w:tcPr>
          <w:p w:rsidR="0050377F" w:rsidRDefault="0050377F" w:rsidP="0050377F">
            <w:pPr>
              <w:pStyle w:val="NoSpacing"/>
            </w:pPr>
            <w:r>
              <w:t>Date</w:t>
            </w:r>
          </w:p>
        </w:tc>
        <w:tc>
          <w:tcPr>
            <w:tcW w:w="1751" w:type="dxa"/>
          </w:tcPr>
          <w:p w:rsidR="0050377F" w:rsidRDefault="0050377F" w:rsidP="0050377F">
            <w:pPr>
              <w:pStyle w:val="NoSpacing"/>
            </w:pPr>
            <w:r>
              <w:t>Location</w:t>
            </w:r>
          </w:p>
        </w:tc>
        <w:tc>
          <w:tcPr>
            <w:tcW w:w="3150" w:type="dxa"/>
          </w:tcPr>
          <w:p w:rsidR="0050377F" w:rsidRDefault="0050377F" w:rsidP="0050377F">
            <w:pPr>
              <w:pStyle w:val="NoSpacing"/>
            </w:pPr>
            <w:r>
              <w:t>Nature of Call / Alarm Condition</w:t>
            </w:r>
          </w:p>
        </w:tc>
        <w:tc>
          <w:tcPr>
            <w:tcW w:w="3505" w:type="dxa"/>
          </w:tcPr>
          <w:p w:rsidR="0050377F" w:rsidRDefault="0050377F" w:rsidP="0050377F">
            <w:pPr>
              <w:pStyle w:val="NoSpacing"/>
            </w:pPr>
            <w:r>
              <w:t>Issue Found</w:t>
            </w:r>
          </w:p>
        </w:tc>
      </w:tr>
      <w:tr w:rsidR="0050377F" w:rsidTr="004125BB">
        <w:tc>
          <w:tcPr>
            <w:tcW w:w="944" w:type="dxa"/>
          </w:tcPr>
          <w:p w:rsidR="0050377F" w:rsidRDefault="0050377F" w:rsidP="0050377F">
            <w:pPr>
              <w:pStyle w:val="NoSpacing"/>
            </w:pPr>
            <w:r>
              <w:t>2/5/22</w:t>
            </w:r>
          </w:p>
        </w:tc>
        <w:tc>
          <w:tcPr>
            <w:tcW w:w="1751" w:type="dxa"/>
          </w:tcPr>
          <w:p w:rsidR="0050377F" w:rsidRDefault="0050377F" w:rsidP="0050377F">
            <w:pPr>
              <w:pStyle w:val="NoSpacing"/>
            </w:pPr>
            <w:r>
              <w:t>Eagle Peak Pump Station</w:t>
            </w:r>
          </w:p>
        </w:tc>
        <w:tc>
          <w:tcPr>
            <w:tcW w:w="3150" w:type="dxa"/>
          </w:tcPr>
          <w:p w:rsidR="0050377F" w:rsidRDefault="0050377F" w:rsidP="0050377F">
            <w:pPr>
              <w:pStyle w:val="NoSpacing"/>
            </w:pPr>
            <w:r>
              <w:t>Pump #2 Failure</w:t>
            </w:r>
          </w:p>
        </w:tc>
        <w:tc>
          <w:tcPr>
            <w:tcW w:w="3505" w:type="dxa"/>
          </w:tcPr>
          <w:p w:rsidR="0050377F" w:rsidRDefault="0050377F" w:rsidP="0050377F">
            <w:pPr>
              <w:pStyle w:val="NoSpacing"/>
            </w:pPr>
            <w:r>
              <w:t>Pump failed to start. Cleared fault and then ran pump – OK. Placed back into service as the lag pump.</w:t>
            </w:r>
          </w:p>
        </w:tc>
      </w:tr>
      <w:tr w:rsidR="0050377F" w:rsidTr="004125BB">
        <w:tc>
          <w:tcPr>
            <w:tcW w:w="944" w:type="dxa"/>
          </w:tcPr>
          <w:p w:rsidR="0050377F" w:rsidRDefault="0050377F" w:rsidP="0050377F">
            <w:pPr>
              <w:pStyle w:val="NoSpacing"/>
            </w:pPr>
            <w:r>
              <w:lastRenderedPageBreak/>
              <w:t>2/5/22</w:t>
            </w:r>
          </w:p>
        </w:tc>
        <w:tc>
          <w:tcPr>
            <w:tcW w:w="1751" w:type="dxa"/>
          </w:tcPr>
          <w:p w:rsidR="0050377F" w:rsidRDefault="0050377F" w:rsidP="0050377F">
            <w:pPr>
              <w:pStyle w:val="NoSpacing"/>
            </w:pPr>
            <w:r>
              <w:t>Reservoir Road Pump Station</w:t>
            </w:r>
          </w:p>
        </w:tc>
        <w:tc>
          <w:tcPr>
            <w:tcW w:w="3150" w:type="dxa"/>
          </w:tcPr>
          <w:p w:rsidR="0050377F" w:rsidRDefault="000E2E01" w:rsidP="0050377F">
            <w:pPr>
              <w:pStyle w:val="NoSpacing"/>
            </w:pPr>
            <w:r>
              <w:t>Bubble Air Low. Low wet well</w:t>
            </w:r>
          </w:p>
        </w:tc>
        <w:tc>
          <w:tcPr>
            <w:tcW w:w="3505" w:type="dxa"/>
          </w:tcPr>
          <w:p w:rsidR="0050377F" w:rsidRDefault="000E2E01" w:rsidP="0050377F">
            <w:pPr>
              <w:pStyle w:val="NoSpacing"/>
            </w:pPr>
            <w:r>
              <w:t>The breaker providing power to the compressor was tripped. Reset breaker and station was back to normal.</w:t>
            </w:r>
          </w:p>
        </w:tc>
      </w:tr>
      <w:tr w:rsidR="0050377F" w:rsidTr="004125BB">
        <w:tc>
          <w:tcPr>
            <w:tcW w:w="944" w:type="dxa"/>
          </w:tcPr>
          <w:p w:rsidR="0050377F" w:rsidRDefault="000E2E01" w:rsidP="0050377F">
            <w:pPr>
              <w:pStyle w:val="NoSpacing"/>
            </w:pPr>
            <w:r>
              <w:t>2/7/22</w:t>
            </w:r>
          </w:p>
        </w:tc>
        <w:tc>
          <w:tcPr>
            <w:tcW w:w="1751" w:type="dxa"/>
          </w:tcPr>
          <w:p w:rsidR="0050377F" w:rsidRDefault="000E2E01" w:rsidP="0050377F">
            <w:pPr>
              <w:pStyle w:val="NoSpacing"/>
            </w:pPr>
            <w:r>
              <w:t>Glendale Pump Station</w:t>
            </w:r>
          </w:p>
        </w:tc>
        <w:tc>
          <w:tcPr>
            <w:tcW w:w="3150" w:type="dxa"/>
          </w:tcPr>
          <w:p w:rsidR="0050377F" w:rsidRDefault="000E2E01" w:rsidP="0050377F">
            <w:pPr>
              <w:pStyle w:val="NoSpacing"/>
            </w:pPr>
            <w:r>
              <w:t>High Wet Well</w:t>
            </w:r>
          </w:p>
        </w:tc>
        <w:tc>
          <w:tcPr>
            <w:tcW w:w="3505" w:type="dxa"/>
          </w:tcPr>
          <w:p w:rsidR="0050377F" w:rsidRDefault="000E2E01" w:rsidP="0050377F">
            <w:pPr>
              <w:pStyle w:val="NoSpacing"/>
            </w:pPr>
            <w:r>
              <w:t>Station returned to normal before crew arrived. Ran both pumps – OK.</w:t>
            </w:r>
          </w:p>
        </w:tc>
      </w:tr>
      <w:tr w:rsidR="000E2E01" w:rsidTr="004125BB">
        <w:tc>
          <w:tcPr>
            <w:tcW w:w="944" w:type="dxa"/>
          </w:tcPr>
          <w:p w:rsidR="000E2E01" w:rsidRDefault="000E2E01" w:rsidP="0050377F">
            <w:pPr>
              <w:pStyle w:val="NoSpacing"/>
            </w:pPr>
            <w:r>
              <w:t>2/8/22</w:t>
            </w:r>
          </w:p>
        </w:tc>
        <w:tc>
          <w:tcPr>
            <w:tcW w:w="1751" w:type="dxa"/>
          </w:tcPr>
          <w:p w:rsidR="000E2E01" w:rsidRDefault="000E2E01" w:rsidP="0050377F">
            <w:pPr>
              <w:pStyle w:val="NoSpacing"/>
            </w:pPr>
            <w:r>
              <w:t>Glendale Pump Station</w:t>
            </w:r>
          </w:p>
        </w:tc>
        <w:tc>
          <w:tcPr>
            <w:tcW w:w="3150" w:type="dxa"/>
          </w:tcPr>
          <w:p w:rsidR="000E2E01" w:rsidRDefault="000E2E01" w:rsidP="0050377F">
            <w:pPr>
              <w:pStyle w:val="NoSpacing"/>
            </w:pPr>
            <w:r>
              <w:t>High Wet Well</w:t>
            </w:r>
          </w:p>
        </w:tc>
        <w:tc>
          <w:tcPr>
            <w:tcW w:w="3505" w:type="dxa"/>
          </w:tcPr>
          <w:p w:rsidR="000E2E01" w:rsidRDefault="000E2E01" w:rsidP="0050377F">
            <w:pPr>
              <w:pStyle w:val="NoSpacing"/>
            </w:pPr>
            <w:r>
              <w:t>Station returned to normal before crew arrived. Ran both pumps. Pump sequence in #2 Lead, #1 Lag. Seems #2 was not keeping up. Switched sequence to #1 Lead, #2 Lag. Collection operator to check in morning when flow is high.</w:t>
            </w:r>
          </w:p>
        </w:tc>
      </w:tr>
      <w:tr w:rsidR="000E2E01" w:rsidTr="004125BB">
        <w:tc>
          <w:tcPr>
            <w:tcW w:w="944" w:type="dxa"/>
          </w:tcPr>
          <w:p w:rsidR="000E2E01" w:rsidRDefault="000E2E01" w:rsidP="0050377F">
            <w:pPr>
              <w:pStyle w:val="NoSpacing"/>
            </w:pPr>
            <w:r>
              <w:t>2/19/22</w:t>
            </w:r>
          </w:p>
        </w:tc>
        <w:tc>
          <w:tcPr>
            <w:tcW w:w="1751" w:type="dxa"/>
          </w:tcPr>
          <w:p w:rsidR="000E2E01" w:rsidRDefault="000E2E01" w:rsidP="0050377F">
            <w:pPr>
              <w:pStyle w:val="NoSpacing"/>
            </w:pPr>
            <w:r>
              <w:t>Beach Road Ejector Station</w:t>
            </w:r>
          </w:p>
        </w:tc>
        <w:tc>
          <w:tcPr>
            <w:tcW w:w="3150" w:type="dxa"/>
          </w:tcPr>
          <w:p w:rsidR="000E2E01" w:rsidRDefault="000E2E01" w:rsidP="0050377F">
            <w:pPr>
              <w:pStyle w:val="NoSpacing"/>
            </w:pPr>
            <w:r>
              <w:t>High Wet Well</w:t>
            </w:r>
          </w:p>
        </w:tc>
        <w:tc>
          <w:tcPr>
            <w:tcW w:w="3505" w:type="dxa"/>
          </w:tcPr>
          <w:p w:rsidR="000E2E01" w:rsidRDefault="000E2E01" w:rsidP="0050377F">
            <w:pPr>
              <w:pStyle w:val="NoSpacing"/>
            </w:pPr>
            <w:r>
              <w:t>Rags holding clapper valve open. Cleared rags and pumped down wet well.</w:t>
            </w:r>
          </w:p>
        </w:tc>
      </w:tr>
      <w:tr w:rsidR="000E2E01" w:rsidTr="004125BB">
        <w:tc>
          <w:tcPr>
            <w:tcW w:w="944" w:type="dxa"/>
          </w:tcPr>
          <w:p w:rsidR="000E2E01" w:rsidRDefault="000E2E01" w:rsidP="0050377F">
            <w:pPr>
              <w:pStyle w:val="NoSpacing"/>
            </w:pPr>
            <w:r>
              <w:t>2/22/22</w:t>
            </w:r>
          </w:p>
        </w:tc>
        <w:tc>
          <w:tcPr>
            <w:tcW w:w="1751" w:type="dxa"/>
          </w:tcPr>
          <w:p w:rsidR="000E2E01" w:rsidRDefault="000E2E01" w:rsidP="0050377F">
            <w:pPr>
              <w:pStyle w:val="NoSpacing"/>
            </w:pPr>
            <w:r>
              <w:t>Glendale Pump Station</w:t>
            </w:r>
          </w:p>
        </w:tc>
        <w:tc>
          <w:tcPr>
            <w:tcW w:w="3150" w:type="dxa"/>
          </w:tcPr>
          <w:p w:rsidR="000E2E01" w:rsidRDefault="000E2E01" w:rsidP="0050377F">
            <w:pPr>
              <w:pStyle w:val="NoSpacing"/>
            </w:pPr>
            <w:r>
              <w:t>High Wet Well</w:t>
            </w:r>
          </w:p>
        </w:tc>
        <w:tc>
          <w:tcPr>
            <w:tcW w:w="3505" w:type="dxa"/>
          </w:tcPr>
          <w:p w:rsidR="000E2E01" w:rsidRDefault="000E2E01" w:rsidP="0050377F">
            <w:pPr>
              <w:pStyle w:val="NoSpacing"/>
            </w:pPr>
            <w:r>
              <w:t>Ran both pumps – OK. Pulled up level transducer. Removed grease on transducer.</w:t>
            </w:r>
          </w:p>
        </w:tc>
      </w:tr>
      <w:tr w:rsidR="000E2E01" w:rsidTr="004125BB">
        <w:tc>
          <w:tcPr>
            <w:tcW w:w="944" w:type="dxa"/>
          </w:tcPr>
          <w:p w:rsidR="000E2E01" w:rsidRDefault="000E2E01" w:rsidP="0050377F">
            <w:pPr>
              <w:pStyle w:val="NoSpacing"/>
            </w:pPr>
            <w:r>
              <w:t>2/24/22</w:t>
            </w:r>
          </w:p>
        </w:tc>
        <w:tc>
          <w:tcPr>
            <w:tcW w:w="1751" w:type="dxa"/>
          </w:tcPr>
          <w:p w:rsidR="000E2E01" w:rsidRDefault="000E2E01" w:rsidP="0050377F">
            <w:pPr>
              <w:pStyle w:val="NoSpacing"/>
            </w:pPr>
            <w:r>
              <w:t>Beach Road Ejector Station</w:t>
            </w:r>
          </w:p>
        </w:tc>
        <w:tc>
          <w:tcPr>
            <w:tcW w:w="3150" w:type="dxa"/>
          </w:tcPr>
          <w:p w:rsidR="000E2E01" w:rsidRDefault="000E2E01" w:rsidP="0050377F">
            <w:pPr>
              <w:pStyle w:val="NoSpacing"/>
            </w:pPr>
            <w:r>
              <w:t>High Wet Well</w:t>
            </w:r>
          </w:p>
        </w:tc>
        <w:tc>
          <w:tcPr>
            <w:tcW w:w="3505" w:type="dxa"/>
          </w:tcPr>
          <w:p w:rsidR="000E2E01" w:rsidRDefault="000E2E01" w:rsidP="0050377F">
            <w:pPr>
              <w:pStyle w:val="NoSpacing"/>
            </w:pPr>
            <w:r>
              <w:t>Back to normal before crew arrived. Flushed.</w:t>
            </w:r>
          </w:p>
        </w:tc>
      </w:tr>
    </w:tbl>
    <w:p w:rsidR="0050377F" w:rsidRPr="0050377F" w:rsidRDefault="0050377F" w:rsidP="0050377F">
      <w:pPr>
        <w:pStyle w:val="NoSpacing"/>
      </w:pPr>
    </w:p>
    <w:p w:rsidR="004125BB" w:rsidRDefault="004125BB" w:rsidP="004125BB">
      <w:pPr>
        <w:pStyle w:val="NoSpacing"/>
        <w:rPr>
          <w:b/>
        </w:rPr>
      </w:pPr>
      <w:r w:rsidRPr="004125BB">
        <w:rPr>
          <w:b/>
        </w:rPr>
        <w:t xml:space="preserve">3. </w:t>
      </w:r>
      <w:r w:rsidRPr="004125BB">
        <w:rPr>
          <w:b/>
        </w:rPr>
        <w:tab/>
        <w:t>OTHER ACTIVITIES &amp; CURRENT ISSUES</w:t>
      </w:r>
    </w:p>
    <w:p w:rsidR="004125BB" w:rsidRDefault="004125BB" w:rsidP="004125BB">
      <w:pPr>
        <w:pStyle w:val="NoSpacing"/>
        <w:rPr>
          <w:b/>
        </w:rPr>
      </w:pPr>
    </w:p>
    <w:p w:rsidR="004125BB" w:rsidRDefault="004125BB" w:rsidP="004125BB">
      <w:pPr>
        <w:pStyle w:val="NoSpacing"/>
      </w:pPr>
      <w:r w:rsidRPr="004125BB">
        <w:t xml:space="preserve">2/2/22 </w:t>
      </w:r>
      <w:r>
        <w:t>–</w:t>
      </w:r>
      <w:r w:rsidRPr="004125BB">
        <w:t xml:space="preserve"> </w:t>
      </w:r>
      <w:r>
        <w:t>Annual Sludge Report for 2021 submitted to EPA via CDX website. Approximately 434 dry tons was disposed in 2021, 437 dry tons in 2020.</w:t>
      </w:r>
    </w:p>
    <w:p w:rsidR="004125BB" w:rsidRDefault="004125BB" w:rsidP="004125BB">
      <w:pPr>
        <w:pStyle w:val="NoSpacing"/>
      </w:pPr>
    </w:p>
    <w:p w:rsidR="004125BB" w:rsidRDefault="004125BB" w:rsidP="004125BB">
      <w:pPr>
        <w:pStyle w:val="NoSpacing"/>
      </w:pPr>
      <w:r>
        <w:t>2/3/22 – Attended meeting at Town Hall Council Chambers to discuss Nasonville Sewer Extension alternatives. Mike Wood, Jeff McCormick, Leslie McGovern, Dennis Anderson and Justin Batalon from Town, Scott Gibbs and Jeff Barr (?) from the Burrillville Economic Development Partnership, James Dyment and Chris Marshall of BETA Group, and Bill Andrews and Mike Emond from the BSC attended. A discussion of the alternatives focused mostly on Subarea 1, Lot 131-7, which is the area behind the Western Hotel.</w:t>
      </w:r>
    </w:p>
    <w:p w:rsidR="004125BB" w:rsidRDefault="004125BB" w:rsidP="004125BB">
      <w:pPr>
        <w:pStyle w:val="NoSpacing"/>
      </w:pPr>
    </w:p>
    <w:p w:rsidR="004125BB" w:rsidRDefault="004125BB" w:rsidP="004125BB">
      <w:pPr>
        <w:pStyle w:val="NoSpacing"/>
      </w:pPr>
      <w:r>
        <w:t xml:space="preserve">2/7/22 – Doug </w:t>
      </w:r>
      <w:proofErr w:type="spellStart"/>
      <w:r>
        <w:t>Allam</w:t>
      </w:r>
      <w:proofErr w:type="spellEnd"/>
      <w:r>
        <w:t xml:space="preserve"> of Crossman Engineering stopped by to review draft plans for Route 102 water and sewer extensions going South to service to lots near Daniele International.</w:t>
      </w:r>
    </w:p>
    <w:p w:rsidR="004125BB" w:rsidRDefault="004125BB" w:rsidP="004125BB">
      <w:pPr>
        <w:pStyle w:val="NoSpacing"/>
      </w:pPr>
    </w:p>
    <w:p w:rsidR="004125BB" w:rsidRDefault="004125BB" w:rsidP="004125BB">
      <w:pPr>
        <w:pStyle w:val="NoSpacing"/>
      </w:pPr>
      <w:r>
        <w:t xml:space="preserve">2/8/22 – Conference call with Joe </w:t>
      </w:r>
      <w:proofErr w:type="spellStart"/>
      <w:r>
        <w:t>Haberek</w:t>
      </w:r>
      <w:proofErr w:type="spellEnd"/>
      <w:r>
        <w:t xml:space="preserve"> and Max Maher of RIDEM and James Dyment and Steve </w:t>
      </w:r>
      <w:proofErr w:type="spellStart"/>
      <w:r>
        <w:t>Richtarik</w:t>
      </w:r>
      <w:proofErr w:type="spellEnd"/>
      <w:r>
        <w:t xml:space="preserve"> of BETA Group regarding Copper Compliance Report and moving forward with Consent Agreement. BETA asked about doing the Water-Effect Ratio study first instead of process control and chemical alternatives. RIDEM OK with doing WER first.</w:t>
      </w:r>
    </w:p>
    <w:p w:rsidR="004125BB" w:rsidRDefault="004125BB" w:rsidP="004125BB">
      <w:pPr>
        <w:pStyle w:val="NoSpacing"/>
      </w:pPr>
    </w:p>
    <w:p w:rsidR="004125BB" w:rsidRDefault="004125BB" w:rsidP="004125BB">
      <w:pPr>
        <w:pStyle w:val="NoSpacing"/>
      </w:pPr>
      <w:r>
        <w:t xml:space="preserve">2/9/22 </w:t>
      </w:r>
      <w:r w:rsidR="00770072">
        <w:t>–</w:t>
      </w:r>
      <w:r>
        <w:t xml:space="preserve"> </w:t>
      </w:r>
      <w:r w:rsidR="00770072">
        <w:t>Called Constellation and had them start the process of switching our National Grid accounts to Utility Combined Billing (UCB). Bill Andrews stopped by to sign Solar Scanned and emailed to Steve Janes the signed Solar Agreement.</w:t>
      </w:r>
    </w:p>
    <w:p w:rsidR="00770072" w:rsidRDefault="00770072" w:rsidP="004125BB">
      <w:pPr>
        <w:pStyle w:val="NoSpacing"/>
      </w:pPr>
    </w:p>
    <w:p w:rsidR="00770072" w:rsidRDefault="00770072" w:rsidP="004125BB">
      <w:pPr>
        <w:pStyle w:val="NoSpacing"/>
      </w:pPr>
      <w:r>
        <w:lastRenderedPageBreak/>
        <w:t xml:space="preserve">2/17/22 – Completed Tier 2 Report for RY2021. Emailed report to RIDEM, LEPC District 1 and Oakland/Mapleville Fire District. </w:t>
      </w:r>
    </w:p>
    <w:p w:rsidR="00770072" w:rsidRDefault="00770072" w:rsidP="004125BB">
      <w:pPr>
        <w:pStyle w:val="NoSpacing"/>
      </w:pPr>
    </w:p>
    <w:p w:rsidR="00770072" w:rsidRDefault="00770072" w:rsidP="004125BB">
      <w:pPr>
        <w:pStyle w:val="NoSpacing"/>
      </w:pPr>
      <w:r>
        <w:t xml:space="preserve">2/23/22 – Started to receive results of </w:t>
      </w:r>
      <w:proofErr w:type="spellStart"/>
      <w:r>
        <w:t>Covid</w:t>
      </w:r>
      <w:proofErr w:type="spellEnd"/>
      <w:r>
        <w:t xml:space="preserve"> 19 testing performed by </w:t>
      </w:r>
      <w:proofErr w:type="spellStart"/>
      <w:r>
        <w:t>LuminUltra</w:t>
      </w:r>
      <w:proofErr w:type="spellEnd"/>
      <w:r>
        <w:t>. Find charts attached.</w:t>
      </w:r>
    </w:p>
    <w:p w:rsidR="00770072" w:rsidRDefault="00770072" w:rsidP="004125BB">
      <w:pPr>
        <w:pStyle w:val="NoSpacing"/>
      </w:pPr>
    </w:p>
    <w:p w:rsidR="00770072" w:rsidRDefault="00770072" w:rsidP="004125BB">
      <w:pPr>
        <w:pStyle w:val="NoSpacing"/>
      </w:pPr>
      <w:r>
        <w:t>2/24/22 – Response letter to RIDEM concerning Copper consent agreement modification emailed to RIDEM and hard copy sent via US Postal.</w:t>
      </w:r>
    </w:p>
    <w:p w:rsidR="00770072" w:rsidRDefault="00770072" w:rsidP="004125BB">
      <w:pPr>
        <w:pStyle w:val="NoSpacing"/>
      </w:pPr>
    </w:p>
    <w:p w:rsidR="00EB4679" w:rsidRDefault="00EB4679" w:rsidP="004125BB">
      <w:pPr>
        <w:pStyle w:val="NoSpacing"/>
      </w:pPr>
      <w:r>
        <w:t>Mr. Emond gave a brief summary of the Superintendent’s Report.</w:t>
      </w:r>
    </w:p>
    <w:p w:rsidR="00EB4679" w:rsidRPr="00EB4679" w:rsidRDefault="00EB4679" w:rsidP="004125BB">
      <w:pPr>
        <w:pStyle w:val="NoSpacing"/>
      </w:pPr>
      <w:r>
        <w:rPr>
          <w:b/>
        </w:rPr>
        <w:t xml:space="preserve">Voted – </w:t>
      </w:r>
      <w:r>
        <w:t xml:space="preserve">Mr. </w:t>
      </w:r>
      <w:r w:rsidR="007C17D4">
        <w:t>Nolan made a motion to approve the Superintendent’s Report. The motion was seconded by Mr. Fontaine. All in favor, so voted.</w:t>
      </w:r>
    </w:p>
    <w:p w:rsidR="00770072" w:rsidRDefault="00770072" w:rsidP="004125BB">
      <w:pPr>
        <w:pStyle w:val="NoSpacing"/>
      </w:pPr>
    </w:p>
    <w:p w:rsidR="00770072" w:rsidRDefault="00770072" w:rsidP="004125BB">
      <w:pPr>
        <w:pStyle w:val="NoSpacing"/>
      </w:pPr>
      <w:r>
        <w:rPr>
          <w:b/>
        </w:rPr>
        <w:t xml:space="preserve">Sewer Use/Sewer Assessment Write-Offs – </w:t>
      </w:r>
      <w:r>
        <w:t>None</w:t>
      </w:r>
    </w:p>
    <w:p w:rsidR="00770072" w:rsidRDefault="00770072" w:rsidP="004125BB">
      <w:pPr>
        <w:pStyle w:val="NoSpacing"/>
      </w:pPr>
    </w:p>
    <w:p w:rsidR="00770072" w:rsidRDefault="00770072" w:rsidP="004125BB">
      <w:pPr>
        <w:pStyle w:val="NoSpacing"/>
      </w:pPr>
    </w:p>
    <w:p w:rsidR="00770072" w:rsidRPr="007C17D4" w:rsidRDefault="00770072" w:rsidP="004125BB">
      <w:pPr>
        <w:pStyle w:val="NoSpacing"/>
      </w:pPr>
      <w:r>
        <w:rPr>
          <w:b/>
        </w:rPr>
        <w:t xml:space="preserve">Adjournment – </w:t>
      </w:r>
      <w:r w:rsidR="007C17D4">
        <w:t>Mr. Nolan made a motion to adjourn the Meeting. The motion was seconded by Mr. Fontaine. All in favor, so voted.</w:t>
      </w:r>
    </w:p>
    <w:p w:rsidR="00770072" w:rsidRDefault="00770072" w:rsidP="004125BB">
      <w:pPr>
        <w:pStyle w:val="NoSpacing"/>
      </w:pPr>
    </w:p>
    <w:p w:rsidR="00770072" w:rsidRDefault="00770072" w:rsidP="004125BB">
      <w:pPr>
        <w:pStyle w:val="NoSpacing"/>
      </w:pPr>
    </w:p>
    <w:p w:rsidR="00770072" w:rsidRDefault="00770072" w:rsidP="004125BB">
      <w:pPr>
        <w:pStyle w:val="NoSpacing"/>
      </w:pPr>
    </w:p>
    <w:p w:rsidR="00770072" w:rsidRDefault="00770072" w:rsidP="004125BB">
      <w:pPr>
        <w:pStyle w:val="NoSpacing"/>
      </w:pPr>
      <w:r>
        <w:t>Respectfully Submitted,</w:t>
      </w:r>
    </w:p>
    <w:p w:rsidR="00770072" w:rsidRDefault="00770072" w:rsidP="004125BB">
      <w:pPr>
        <w:pStyle w:val="NoSpacing"/>
      </w:pPr>
    </w:p>
    <w:p w:rsidR="00770072" w:rsidRDefault="00770072" w:rsidP="004125BB">
      <w:pPr>
        <w:pStyle w:val="NoSpacing"/>
      </w:pPr>
    </w:p>
    <w:p w:rsidR="00770072" w:rsidRDefault="00770072" w:rsidP="004125BB">
      <w:pPr>
        <w:pStyle w:val="NoSpacing"/>
      </w:pPr>
      <w:r>
        <w:t>Jacqueline Batalon</w:t>
      </w:r>
    </w:p>
    <w:p w:rsidR="00770072" w:rsidRDefault="00770072" w:rsidP="004125BB">
      <w:pPr>
        <w:pStyle w:val="NoSpacing"/>
      </w:pPr>
      <w:r>
        <w:t>Financial Aide</w:t>
      </w:r>
    </w:p>
    <w:p w:rsidR="00B85B1C" w:rsidRDefault="00B85B1C" w:rsidP="004125BB">
      <w:pPr>
        <w:pStyle w:val="NoSpacing"/>
      </w:pPr>
    </w:p>
    <w:p w:rsidR="00B85B1C" w:rsidRDefault="00B85B1C" w:rsidP="004125BB">
      <w:pPr>
        <w:pStyle w:val="NoSpacing"/>
      </w:pPr>
    </w:p>
    <w:p w:rsidR="00B85B1C" w:rsidRDefault="00B85B1C" w:rsidP="004125BB">
      <w:pPr>
        <w:pStyle w:val="NoSpacing"/>
      </w:pPr>
    </w:p>
    <w:p w:rsidR="00B85B1C" w:rsidRDefault="00B85B1C" w:rsidP="004125BB">
      <w:pPr>
        <w:pStyle w:val="NoSpacing"/>
      </w:pPr>
      <w:r>
        <w:t>I have read the Minutes of the previous pages and hereby ratify the same.</w:t>
      </w:r>
    </w:p>
    <w:p w:rsidR="00B85B1C" w:rsidRDefault="00B85B1C" w:rsidP="004125BB">
      <w:pPr>
        <w:pStyle w:val="NoSpacing"/>
      </w:pPr>
    </w:p>
    <w:p w:rsidR="00B85B1C" w:rsidRDefault="00B85B1C" w:rsidP="004125BB">
      <w:pPr>
        <w:pStyle w:val="NoSpacing"/>
      </w:pPr>
    </w:p>
    <w:p w:rsidR="00B85B1C" w:rsidRDefault="00B85B1C" w:rsidP="004125BB">
      <w:pPr>
        <w:pStyle w:val="NoSpacing"/>
      </w:pPr>
    </w:p>
    <w:p w:rsidR="00B85B1C" w:rsidRDefault="00B85B1C" w:rsidP="004125BB">
      <w:pPr>
        <w:pStyle w:val="NoSpacing"/>
      </w:pPr>
      <w:r>
        <w:t>___________________________    __________________________    ____________________________</w:t>
      </w:r>
    </w:p>
    <w:p w:rsidR="00B85B1C" w:rsidRDefault="00B85B1C" w:rsidP="004125BB">
      <w:pPr>
        <w:pStyle w:val="NoSpacing"/>
      </w:pPr>
      <w:r>
        <w:t>William Andrews</w:t>
      </w:r>
      <w:r>
        <w:tab/>
      </w:r>
      <w:r>
        <w:tab/>
        <w:t xml:space="preserve">      Richard Nolan</w:t>
      </w:r>
      <w:r>
        <w:tab/>
      </w:r>
      <w:r>
        <w:tab/>
        <w:t xml:space="preserve">         Russell Fontaine</w:t>
      </w:r>
    </w:p>
    <w:p w:rsidR="00B85B1C" w:rsidRDefault="00B85B1C" w:rsidP="004125BB">
      <w:pPr>
        <w:pStyle w:val="NoSpacing"/>
      </w:pPr>
      <w:r>
        <w:t>Chairman</w:t>
      </w:r>
      <w:r>
        <w:tab/>
      </w:r>
      <w:proofErr w:type="gramStart"/>
      <w:r>
        <w:tab/>
        <w:t xml:space="preserve">  </w:t>
      </w:r>
      <w:r>
        <w:tab/>
      </w:r>
      <w:proofErr w:type="gramEnd"/>
      <w:r>
        <w:t xml:space="preserve">      Vice Chairman</w:t>
      </w:r>
      <w:r>
        <w:tab/>
      </w:r>
      <w:r>
        <w:tab/>
        <w:t xml:space="preserve">         Secretary</w:t>
      </w:r>
    </w:p>
    <w:p w:rsidR="00B85B1C" w:rsidRDefault="00B85B1C" w:rsidP="004125BB">
      <w:pPr>
        <w:pStyle w:val="NoSpacing"/>
      </w:pPr>
    </w:p>
    <w:p w:rsidR="00B85B1C" w:rsidRDefault="00B85B1C" w:rsidP="004125BB">
      <w:pPr>
        <w:pStyle w:val="NoSpacing"/>
      </w:pPr>
    </w:p>
    <w:p w:rsidR="00B85B1C" w:rsidRDefault="00B85B1C" w:rsidP="004125BB">
      <w:pPr>
        <w:pStyle w:val="NoSpacing"/>
      </w:pPr>
    </w:p>
    <w:p w:rsidR="00B85B1C" w:rsidRDefault="00B85B1C" w:rsidP="004125BB">
      <w:pPr>
        <w:pStyle w:val="NoSpacing"/>
      </w:pPr>
      <w:r>
        <w:t>___________________________    ___________________________</w:t>
      </w:r>
    </w:p>
    <w:p w:rsidR="00B85B1C" w:rsidRDefault="00B85B1C" w:rsidP="004125BB">
      <w:pPr>
        <w:pStyle w:val="NoSpacing"/>
      </w:pPr>
      <w:r>
        <w:t>Gary Rouleau</w:t>
      </w:r>
      <w:r>
        <w:tab/>
      </w:r>
      <w:r>
        <w:tab/>
      </w:r>
      <w:r>
        <w:tab/>
        <w:t xml:space="preserve">      Daniel Joubert</w:t>
      </w:r>
    </w:p>
    <w:p w:rsidR="00B85B1C" w:rsidRPr="00770072" w:rsidRDefault="00B85B1C" w:rsidP="004125BB">
      <w:pPr>
        <w:pStyle w:val="NoSpacing"/>
      </w:pPr>
      <w:r>
        <w:t>Commission Member</w:t>
      </w:r>
      <w:r>
        <w:tab/>
      </w:r>
      <w:r>
        <w:tab/>
        <w:t xml:space="preserve">      Commission Member</w:t>
      </w:r>
      <w:bookmarkStart w:id="0" w:name="_GoBack"/>
      <w:bookmarkEnd w:id="0"/>
    </w:p>
    <w:sectPr w:rsidR="00B85B1C" w:rsidRPr="0077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3073"/>
    <w:multiLevelType w:val="hybridMultilevel"/>
    <w:tmpl w:val="8E8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00928"/>
    <w:multiLevelType w:val="hybridMultilevel"/>
    <w:tmpl w:val="18E66E78"/>
    <w:lvl w:ilvl="0" w:tplc="9FE45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B"/>
    <w:rsid w:val="00097C7B"/>
    <w:rsid w:val="000E2E01"/>
    <w:rsid w:val="003B5C8B"/>
    <w:rsid w:val="004125BB"/>
    <w:rsid w:val="0050377F"/>
    <w:rsid w:val="00622CDD"/>
    <w:rsid w:val="00770072"/>
    <w:rsid w:val="007C17D4"/>
    <w:rsid w:val="00A6548A"/>
    <w:rsid w:val="00B85B1C"/>
    <w:rsid w:val="00D85061"/>
    <w:rsid w:val="00E71C38"/>
    <w:rsid w:val="00EB184C"/>
    <w:rsid w:val="00EB4679"/>
    <w:rsid w:val="00F4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ABD1"/>
  <w15:chartTrackingRefBased/>
  <w15:docId w15:val="{5BA82A61-E476-4AE1-ADBA-CF425E8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C7B"/>
    <w:pPr>
      <w:spacing w:after="0" w:line="240" w:lineRule="auto"/>
    </w:pPr>
  </w:style>
  <w:style w:type="table" w:styleId="TableGrid">
    <w:name w:val="Table Grid"/>
    <w:basedOn w:val="TableNormal"/>
    <w:uiPriority w:val="39"/>
    <w:rsid w:val="0050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4</cp:revision>
  <cp:lastPrinted>2022-03-24T19:13:00Z</cp:lastPrinted>
  <dcterms:created xsi:type="dcterms:W3CDTF">2022-03-14T17:21:00Z</dcterms:created>
  <dcterms:modified xsi:type="dcterms:W3CDTF">2022-03-24T19:22:00Z</dcterms:modified>
</cp:coreProperties>
</file>